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68B9" w:rsidRPr="004938E7" w:rsidRDefault="00C56F83" w:rsidP="00F20D00">
      <w:pPr>
        <w:jc w:val="center"/>
        <w:rPr>
          <w:b/>
          <w:bCs/>
          <w:sz w:val="28"/>
          <w:szCs w:val="40"/>
        </w:rPr>
      </w:pPr>
      <w:r w:rsidRPr="004938E7">
        <w:rPr>
          <w:noProof/>
          <w:sz w:val="16"/>
        </w:rPr>
        <w:drawing>
          <wp:inline distT="0" distB="0" distL="0" distR="0" wp14:anchorId="07ADC6B1" wp14:editId="04F17F87">
            <wp:extent cx="2628900" cy="1171575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070B" w:rsidRPr="00F0070B" w:rsidRDefault="007968B9" w:rsidP="00F0070B">
      <w:pPr>
        <w:pBdr>
          <w:bottom w:val="single" w:sz="6" w:space="1" w:color="auto"/>
        </w:pBdr>
        <w:shd w:val="clear" w:color="auto" w:fill="FFFFFF"/>
        <w:spacing w:after="0" w:line="224" w:lineRule="atLeast"/>
        <w:rPr>
          <w:rFonts w:eastAsia="Times New Roman" w:cs="Arial"/>
          <w:b/>
          <w:bCs/>
          <w:color w:val="222222"/>
          <w:sz w:val="20"/>
          <w:szCs w:val="28"/>
        </w:rPr>
      </w:pPr>
      <w:r w:rsidRPr="00046863">
        <w:rPr>
          <w:rFonts w:eastAsia="Times New Roman" w:cs="Arial"/>
          <w:b/>
          <w:bCs/>
          <w:color w:val="222222"/>
          <w:sz w:val="20"/>
          <w:szCs w:val="28"/>
        </w:rPr>
        <w:t>BASIN BÜLTENİ</w:t>
      </w:r>
      <w:r w:rsidRPr="00046863">
        <w:rPr>
          <w:rFonts w:eastAsia="Times New Roman" w:cs="Arial"/>
          <w:b/>
          <w:bCs/>
          <w:color w:val="222222"/>
          <w:sz w:val="20"/>
          <w:szCs w:val="28"/>
        </w:rPr>
        <w:tab/>
      </w:r>
      <w:r w:rsidRPr="00046863">
        <w:rPr>
          <w:rFonts w:eastAsia="Times New Roman" w:cs="Arial"/>
          <w:b/>
          <w:bCs/>
          <w:color w:val="222222"/>
          <w:sz w:val="20"/>
          <w:szCs w:val="28"/>
        </w:rPr>
        <w:tab/>
      </w:r>
      <w:r w:rsidRPr="00046863">
        <w:rPr>
          <w:rFonts w:eastAsia="Times New Roman" w:cs="Arial"/>
          <w:b/>
          <w:bCs/>
          <w:color w:val="222222"/>
          <w:sz w:val="20"/>
          <w:szCs w:val="28"/>
        </w:rPr>
        <w:tab/>
      </w:r>
      <w:r w:rsidRPr="00046863">
        <w:rPr>
          <w:rFonts w:eastAsia="Times New Roman" w:cs="Arial"/>
          <w:b/>
          <w:bCs/>
          <w:color w:val="222222"/>
          <w:sz w:val="20"/>
          <w:szCs w:val="28"/>
        </w:rPr>
        <w:tab/>
      </w:r>
      <w:r w:rsidRPr="00046863">
        <w:rPr>
          <w:rFonts w:eastAsia="Times New Roman" w:cs="Arial"/>
          <w:b/>
          <w:bCs/>
          <w:color w:val="222222"/>
          <w:sz w:val="20"/>
          <w:szCs w:val="28"/>
        </w:rPr>
        <w:tab/>
      </w:r>
      <w:r w:rsidRPr="00046863">
        <w:rPr>
          <w:rFonts w:eastAsia="Times New Roman" w:cs="Arial"/>
          <w:b/>
          <w:bCs/>
          <w:color w:val="222222"/>
          <w:sz w:val="20"/>
          <w:szCs w:val="28"/>
        </w:rPr>
        <w:tab/>
      </w:r>
      <w:r w:rsidRPr="00046863">
        <w:rPr>
          <w:rFonts w:eastAsia="Times New Roman" w:cs="Arial"/>
          <w:b/>
          <w:bCs/>
          <w:color w:val="222222"/>
          <w:sz w:val="20"/>
          <w:szCs w:val="28"/>
        </w:rPr>
        <w:tab/>
      </w:r>
      <w:r w:rsidRPr="00046863">
        <w:rPr>
          <w:rFonts w:eastAsia="Times New Roman" w:cs="Arial"/>
          <w:b/>
          <w:bCs/>
          <w:color w:val="222222"/>
          <w:sz w:val="20"/>
          <w:szCs w:val="28"/>
        </w:rPr>
        <w:tab/>
      </w:r>
      <w:r w:rsidRPr="00046863">
        <w:rPr>
          <w:rFonts w:eastAsia="Times New Roman" w:cs="Arial"/>
          <w:b/>
          <w:bCs/>
          <w:color w:val="222222"/>
          <w:sz w:val="20"/>
          <w:szCs w:val="28"/>
        </w:rPr>
        <w:tab/>
      </w:r>
      <w:r w:rsidRPr="00046863">
        <w:rPr>
          <w:rFonts w:eastAsia="Times New Roman" w:cs="Arial"/>
          <w:b/>
          <w:bCs/>
          <w:color w:val="222222"/>
          <w:sz w:val="20"/>
          <w:szCs w:val="28"/>
        </w:rPr>
        <w:tab/>
        <w:t xml:space="preserve">     </w:t>
      </w:r>
      <w:r w:rsidR="00BC01D4">
        <w:rPr>
          <w:rFonts w:eastAsia="Times New Roman" w:cs="Arial"/>
          <w:b/>
          <w:bCs/>
          <w:color w:val="222222"/>
          <w:sz w:val="20"/>
          <w:szCs w:val="28"/>
        </w:rPr>
        <w:t>xx</w:t>
      </w:r>
      <w:r w:rsidR="00774364" w:rsidRPr="00046863">
        <w:rPr>
          <w:rFonts w:eastAsia="Times New Roman" w:cs="Arial"/>
          <w:b/>
          <w:bCs/>
          <w:color w:val="222222"/>
          <w:sz w:val="20"/>
          <w:szCs w:val="28"/>
        </w:rPr>
        <w:t>.</w:t>
      </w:r>
      <w:r w:rsidR="00BC01D4">
        <w:rPr>
          <w:rFonts w:eastAsia="Times New Roman" w:cs="Arial"/>
          <w:b/>
          <w:bCs/>
          <w:color w:val="222222"/>
          <w:sz w:val="20"/>
          <w:szCs w:val="28"/>
        </w:rPr>
        <w:t>xx</w:t>
      </w:r>
      <w:r w:rsidRPr="00046863">
        <w:rPr>
          <w:rFonts w:eastAsia="Times New Roman" w:cs="Arial"/>
          <w:b/>
          <w:bCs/>
          <w:color w:val="222222"/>
          <w:sz w:val="20"/>
          <w:szCs w:val="28"/>
        </w:rPr>
        <w:t>.202</w:t>
      </w:r>
      <w:r w:rsidR="00BC01D4">
        <w:rPr>
          <w:rFonts w:eastAsia="Times New Roman" w:cs="Arial"/>
          <w:b/>
          <w:bCs/>
          <w:color w:val="222222"/>
          <w:sz w:val="20"/>
          <w:szCs w:val="28"/>
        </w:rPr>
        <w:t>4</w:t>
      </w:r>
    </w:p>
    <w:p w:rsidR="00F0070B" w:rsidRDefault="00F0070B" w:rsidP="009D18E0">
      <w:pPr>
        <w:jc w:val="center"/>
        <w:rPr>
          <w:b/>
          <w:bCs/>
          <w:sz w:val="40"/>
          <w:szCs w:val="36"/>
        </w:rPr>
      </w:pPr>
    </w:p>
    <w:p w:rsidR="00950FED" w:rsidRDefault="007B15E9" w:rsidP="00BC01D4">
      <w:pPr>
        <w:jc w:val="center"/>
        <w:rPr>
          <w:b/>
          <w:bCs/>
          <w:sz w:val="40"/>
          <w:szCs w:val="36"/>
        </w:rPr>
      </w:pPr>
      <w:r>
        <w:rPr>
          <w:b/>
          <w:bCs/>
          <w:sz w:val="40"/>
          <w:szCs w:val="36"/>
        </w:rPr>
        <w:t>Emlak Katılım’a</w:t>
      </w:r>
      <w:r w:rsidR="005251F1">
        <w:rPr>
          <w:b/>
          <w:bCs/>
          <w:sz w:val="40"/>
          <w:szCs w:val="36"/>
        </w:rPr>
        <w:t xml:space="preserve"> </w:t>
      </w:r>
      <w:r w:rsidR="00BC01D4">
        <w:rPr>
          <w:b/>
          <w:bCs/>
          <w:sz w:val="40"/>
          <w:szCs w:val="36"/>
        </w:rPr>
        <w:t>yılın en başarılı sukuk ihracı</w:t>
      </w:r>
      <w:r w:rsidRPr="007B15E9">
        <w:rPr>
          <w:b/>
          <w:bCs/>
          <w:sz w:val="40"/>
          <w:szCs w:val="36"/>
        </w:rPr>
        <w:t xml:space="preserve"> ödülü</w:t>
      </w:r>
    </w:p>
    <w:p w:rsidR="00BC01D4" w:rsidRPr="005251F1" w:rsidRDefault="00BC01D4" w:rsidP="00BC01D4">
      <w:pPr>
        <w:jc w:val="center"/>
        <w:rPr>
          <w:b/>
          <w:bCs/>
          <w:sz w:val="40"/>
          <w:szCs w:val="36"/>
        </w:rPr>
      </w:pPr>
    </w:p>
    <w:p w:rsidR="00950FED" w:rsidRDefault="00950FED" w:rsidP="00D2266F">
      <w:pPr>
        <w:spacing w:line="360" w:lineRule="auto"/>
        <w:jc w:val="center"/>
        <w:rPr>
          <w:b/>
          <w:bCs/>
          <w:sz w:val="28"/>
          <w:szCs w:val="28"/>
        </w:rPr>
      </w:pPr>
      <w:r w:rsidRPr="00950FED">
        <w:rPr>
          <w:b/>
          <w:bCs/>
          <w:sz w:val="28"/>
          <w:szCs w:val="28"/>
        </w:rPr>
        <w:t xml:space="preserve">İslami finans piyasalarının önde gelen yayınlarından Islamic Finance News tarafından düzenlenen </w:t>
      </w:r>
      <w:r w:rsidR="00BC01D4">
        <w:rPr>
          <w:b/>
          <w:bCs/>
          <w:sz w:val="28"/>
          <w:szCs w:val="28"/>
        </w:rPr>
        <w:t>‘</w:t>
      </w:r>
      <w:r w:rsidRPr="00950FED">
        <w:rPr>
          <w:b/>
          <w:bCs/>
          <w:sz w:val="28"/>
          <w:szCs w:val="28"/>
        </w:rPr>
        <w:t>IFN Deals of The Year 2023</w:t>
      </w:r>
      <w:r w:rsidR="00BC01D4">
        <w:rPr>
          <w:b/>
          <w:bCs/>
          <w:sz w:val="28"/>
          <w:szCs w:val="28"/>
        </w:rPr>
        <w:t>’</w:t>
      </w:r>
      <w:r w:rsidRPr="00950FED">
        <w:rPr>
          <w:b/>
          <w:bCs/>
          <w:sz w:val="28"/>
          <w:szCs w:val="28"/>
        </w:rPr>
        <w:t xml:space="preserve"> </w:t>
      </w:r>
      <w:r w:rsidR="00BC01D4">
        <w:rPr>
          <w:b/>
          <w:bCs/>
          <w:sz w:val="28"/>
          <w:szCs w:val="28"/>
        </w:rPr>
        <w:t>ödülleri sahiplerini buldu. Emlak Katılım</w:t>
      </w:r>
      <w:r w:rsidR="00893FE3">
        <w:rPr>
          <w:b/>
          <w:bCs/>
          <w:sz w:val="28"/>
          <w:szCs w:val="28"/>
        </w:rPr>
        <w:t>’ın</w:t>
      </w:r>
      <w:r w:rsidR="00BC01D4">
        <w:rPr>
          <w:b/>
          <w:bCs/>
          <w:sz w:val="28"/>
          <w:szCs w:val="28"/>
        </w:rPr>
        <w:t xml:space="preserve"> </w:t>
      </w:r>
      <w:r w:rsidR="00BC01D4" w:rsidRPr="00BC01D4">
        <w:rPr>
          <w:b/>
          <w:bCs/>
          <w:sz w:val="28"/>
          <w:szCs w:val="28"/>
        </w:rPr>
        <w:t xml:space="preserve">aracılığını üstlendiği </w:t>
      </w:r>
      <w:r w:rsidR="0025001C" w:rsidRPr="0025001C">
        <w:rPr>
          <w:b/>
          <w:bCs/>
          <w:sz w:val="28"/>
          <w:szCs w:val="28"/>
        </w:rPr>
        <w:t xml:space="preserve">Türkiye Varlık Fonu İstanbul Finans Merkezi A.Ş.’nin </w:t>
      </w:r>
      <w:r w:rsidR="00BC01D4" w:rsidRPr="00BC01D4">
        <w:rPr>
          <w:b/>
          <w:bCs/>
          <w:sz w:val="28"/>
          <w:szCs w:val="28"/>
        </w:rPr>
        <w:t>800 milyon TL tutarlı Eser Sözleşmesine Dayalı Kira Sertifikası (Sukuk) ihracı</w:t>
      </w:r>
      <w:r w:rsidR="00BC01D4">
        <w:rPr>
          <w:b/>
          <w:bCs/>
          <w:sz w:val="28"/>
          <w:szCs w:val="28"/>
        </w:rPr>
        <w:t xml:space="preserve">, </w:t>
      </w:r>
      <w:r w:rsidR="00BC01D4" w:rsidRPr="00BC01D4">
        <w:rPr>
          <w:b/>
          <w:bCs/>
          <w:sz w:val="28"/>
          <w:szCs w:val="28"/>
        </w:rPr>
        <w:t>Türkiye’de yılın en başarılı sukuk ihracı ödülüne layık görüldü.</w:t>
      </w:r>
    </w:p>
    <w:p w:rsidR="00BC01D4" w:rsidRDefault="00BC01D4" w:rsidP="00B210D7">
      <w:pPr>
        <w:spacing w:line="360" w:lineRule="auto"/>
        <w:jc w:val="both"/>
        <w:rPr>
          <w:sz w:val="24"/>
          <w:szCs w:val="36"/>
        </w:rPr>
      </w:pPr>
    </w:p>
    <w:p w:rsidR="00893FE3" w:rsidRDefault="00D8040B" w:rsidP="00B210D7">
      <w:pPr>
        <w:spacing w:line="360" w:lineRule="auto"/>
        <w:jc w:val="both"/>
        <w:rPr>
          <w:sz w:val="24"/>
          <w:szCs w:val="36"/>
        </w:rPr>
      </w:pPr>
      <w:r w:rsidRPr="00D8040B">
        <w:rPr>
          <w:sz w:val="24"/>
          <w:szCs w:val="36"/>
        </w:rPr>
        <w:t>Emlak Katılım</w:t>
      </w:r>
      <w:r w:rsidR="005E4D77">
        <w:rPr>
          <w:sz w:val="24"/>
          <w:szCs w:val="36"/>
        </w:rPr>
        <w:t>,</w:t>
      </w:r>
      <w:r w:rsidRPr="00D8040B">
        <w:rPr>
          <w:sz w:val="24"/>
          <w:szCs w:val="36"/>
        </w:rPr>
        <w:t xml:space="preserve"> fon kullanıcısı olduğu </w:t>
      </w:r>
      <w:r w:rsidR="009E5A6A">
        <w:rPr>
          <w:sz w:val="24"/>
          <w:szCs w:val="36"/>
        </w:rPr>
        <w:t xml:space="preserve">ve aracılığını üstlendiği </w:t>
      </w:r>
      <w:r w:rsidR="009A546F">
        <w:rPr>
          <w:sz w:val="24"/>
          <w:szCs w:val="36"/>
        </w:rPr>
        <w:t>sukuk</w:t>
      </w:r>
      <w:r w:rsidRPr="00D8040B">
        <w:rPr>
          <w:sz w:val="24"/>
          <w:szCs w:val="36"/>
        </w:rPr>
        <w:t xml:space="preserve"> ihraçlarında</w:t>
      </w:r>
      <w:r>
        <w:rPr>
          <w:sz w:val="24"/>
          <w:szCs w:val="36"/>
        </w:rPr>
        <w:t>ki başarısını ödüll</w:t>
      </w:r>
      <w:r w:rsidR="00B92CCE">
        <w:rPr>
          <w:sz w:val="24"/>
          <w:szCs w:val="36"/>
        </w:rPr>
        <w:t>erle</w:t>
      </w:r>
      <w:r>
        <w:rPr>
          <w:sz w:val="24"/>
          <w:szCs w:val="36"/>
        </w:rPr>
        <w:t xml:space="preserve"> taçlan</w:t>
      </w:r>
      <w:r w:rsidR="00B92CCE">
        <w:rPr>
          <w:sz w:val="24"/>
          <w:szCs w:val="36"/>
        </w:rPr>
        <w:t>dırmaya devam ediyor.</w:t>
      </w:r>
      <w:r>
        <w:rPr>
          <w:sz w:val="24"/>
          <w:szCs w:val="36"/>
        </w:rPr>
        <w:t xml:space="preserve"> </w:t>
      </w:r>
      <w:r w:rsidR="00DE54D9" w:rsidRPr="00046863">
        <w:rPr>
          <w:sz w:val="24"/>
          <w:szCs w:val="36"/>
        </w:rPr>
        <w:t xml:space="preserve">Sektörün sürdürülebilir büyümesine katkı sağlamak üzere Türkiye ve dünyada örnekleri olmayan yeni sukuk (kira sertifikası) modellerini ülkemizde hayata geçiren Emlak Katılım, </w:t>
      </w:r>
      <w:r w:rsidR="00112D8D" w:rsidRPr="00112D8D">
        <w:rPr>
          <w:sz w:val="24"/>
          <w:szCs w:val="36"/>
        </w:rPr>
        <w:t>Islamic Finance News tarafından düzenlenen ‘IFN Deals of The Year 2023</w:t>
      </w:r>
      <w:r w:rsidR="00112D8D">
        <w:rPr>
          <w:sz w:val="24"/>
          <w:szCs w:val="36"/>
        </w:rPr>
        <w:t xml:space="preserve">’te </w:t>
      </w:r>
      <w:r w:rsidR="00893FE3">
        <w:rPr>
          <w:sz w:val="24"/>
          <w:szCs w:val="36"/>
        </w:rPr>
        <w:t>aracılığını üstlendiği sukuk ihracı ile Türkiye’de yılın en başarılı sukuk ihracı ödülüne layık görüldü.</w:t>
      </w:r>
      <w:r w:rsidR="00112D8D">
        <w:rPr>
          <w:sz w:val="24"/>
          <w:szCs w:val="36"/>
        </w:rPr>
        <w:t xml:space="preserve"> </w:t>
      </w:r>
    </w:p>
    <w:p w:rsidR="00112D8D" w:rsidRPr="00112D8D" w:rsidRDefault="006C7A4C" w:rsidP="00B210D7">
      <w:pPr>
        <w:spacing w:line="360" w:lineRule="auto"/>
        <w:jc w:val="both"/>
        <w:rPr>
          <w:b/>
          <w:bCs/>
          <w:sz w:val="24"/>
          <w:szCs w:val="36"/>
        </w:rPr>
      </w:pPr>
      <w:r>
        <w:rPr>
          <w:b/>
          <w:bCs/>
          <w:sz w:val="24"/>
          <w:szCs w:val="36"/>
        </w:rPr>
        <w:t>S</w:t>
      </w:r>
      <w:r w:rsidR="00112D8D" w:rsidRPr="00112D8D">
        <w:rPr>
          <w:b/>
          <w:bCs/>
          <w:sz w:val="24"/>
          <w:szCs w:val="36"/>
        </w:rPr>
        <w:t>ukuk ihraçlarına aracılık</w:t>
      </w:r>
      <w:r w:rsidR="0025001C">
        <w:rPr>
          <w:b/>
          <w:bCs/>
          <w:sz w:val="24"/>
          <w:szCs w:val="36"/>
        </w:rPr>
        <w:t>ta sektör lideri</w:t>
      </w:r>
    </w:p>
    <w:p w:rsidR="00D2266F" w:rsidRDefault="006038AE" w:rsidP="00B210D7">
      <w:pPr>
        <w:spacing w:line="360" w:lineRule="auto"/>
        <w:jc w:val="both"/>
        <w:rPr>
          <w:sz w:val="24"/>
          <w:szCs w:val="36"/>
        </w:rPr>
      </w:pPr>
      <w:r>
        <w:rPr>
          <w:sz w:val="24"/>
          <w:szCs w:val="36"/>
        </w:rPr>
        <w:t>G</w:t>
      </w:r>
      <w:r w:rsidR="00893FE3" w:rsidRPr="00D8040B">
        <w:rPr>
          <w:sz w:val="24"/>
          <w:szCs w:val="36"/>
        </w:rPr>
        <w:t>erçekleştirdiği sukuk ihraçlarının yanı sıra katılım esaslı sermaye piyasalarındaki bilgi ve tecrübelerini çeşitli sektörlerdeki kurumsal firmalara aktar</w:t>
      </w:r>
      <w:r>
        <w:rPr>
          <w:sz w:val="24"/>
          <w:szCs w:val="36"/>
        </w:rPr>
        <w:t>an banka; t</w:t>
      </w:r>
      <w:r w:rsidRPr="00D8040B">
        <w:rPr>
          <w:sz w:val="24"/>
          <w:szCs w:val="36"/>
        </w:rPr>
        <w:t>arım, geri dönüşüm, gayrimenkul, otomotiv, gıda vb. birçok sektörde faaliyet gösteren kurumsal firmaların faizsiz finans prensiplerine uygun sukuk ihraçlarına da aracılık e</w:t>
      </w:r>
      <w:r>
        <w:rPr>
          <w:sz w:val="24"/>
          <w:szCs w:val="36"/>
        </w:rPr>
        <w:t>diyor</w:t>
      </w:r>
      <w:r w:rsidRPr="00D8040B">
        <w:rPr>
          <w:sz w:val="24"/>
          <w:szCs w:val="36"/>
        </w:rPr>
        <w:t>.</w:t>
      </w:r>
      <w:r>
        <w:rPr>
          <w:sz w:val="24"/>
          <w:szCs w:val="36"/>
        </w:rPr>
        <w:t xml:space="preserve"> </w:t>
      </w:r>
      <w:r w:rsidR="005E3AB8">
        <w:rPr>
          <w:sz w:val="24"/>
          <w:szCs w:val="36"/>
        </w:rPr>
        <w:t xml:space="preserve">Aracılığını üstlendiği sukuk ihraçlarında dolaşımdaki yaklaşık 6 milyar TL tutarlı sukuk bakiyesi ile sektör liderliğini koruyan ve </w:t>
      </w:r>
      <w:r w:rsidR="005E3AB8">
        <w:rPr>
          <w:sz w:val="24"/>
          <w:szCs w:val="36"/>
        </w:rPr>
        <w:lastRenderedPageBreak/>
        <w:t>k</w:t>
      </w:r>
      <w:r w:rsidRPr="003E43EB">
        <w:rPr>
          <w:sz w:val="24"/>
          <w:szCs w:val="36"/>
        </w:rPr>
        <w:t>atılım esaslı sermaye piyasalarında Türkiye’de sektörün büyümesine ve gelişmesine önemli katkılar</w:t>
      </w:r>
      <w:r>
        <w:rPr>
          <w:sz w:val="24"/>
          <w:szCs w:val="36"/>
        </w:rPr>
        <w:t xml:space="preserve"> sağlamaya devam eden </w:t>
      </w:r>
      <w:r w:rsidR="00112D8D">
        <w:rPr>
          <w:sz w:val="24"/>
          <w:szCs w:val="36"/>
        </w:rPr>
        <w:t>Emlak Katılım</w:t>
      </w:r>
      <w:r w:rsidR="00DE54D9" w:rsidRPr="00046863">
        <w:rPr>
          <w:sz w:val="24"/>
          <w:szCs w:val="36"/>
        </w:rPr>
        <w:t xml:space="preserve">, bu ödülü </w:t>
      </w:r>
      <w:r w:rsidR="006C7A4C">
        <w:rPr>
          <w:sz w:val="24"/>
          <w:szCs w:val="36"/>
        </w:rPr>
        <w:t xml:space="preserve">Aralık 2023’te </w:t>
      </w:r>
      <w:r w:rsidR="007B15E9" w:rsidRPr="007B15E9">
        <w:rPr>
          <w:sz w:val="24"/>
          <w:szCs w:val="36"/>
        </w:rPr>
        <w:t xml:space="preserve">aracılığını üstlendiği </w:t>
      </w:r>
      <w:r w:rsidR="00112D8D" w:rsidRPr="00112D8D">
        <w:rPr>
          <w:sz w:val="24"/>
          <w:szCs w:val="36"/>
        </w:rPr>
        <w:t>Türkiye Varlık Fonu İstanbul Finans Merkezi A.Ş.’nin 800 milyon TL tutarlı Eser Sözleşmesine Dayalı Kira Sertifikası (Sukuk) ihracı</w:t>
      </w:r>
      <w:r w:rsidR="00584500">
        <w:rPr>
          <w:sz w:val="24"/>
          <w:szCs w:val="36"/>
        </w:rPr>
        <w:t xml:space="preserve"> </w:t>
      </w:r>
      <w:r w:rsidR="008159A4" w:rsidRPr="00046863">
        <w:rPr>
          <w:sz w:val="24"/>
          <w:szCs w:val="36"/>
        </w:rPr>
        <w:t xml:space="preserve">ile </w:t>
      </w:r>
      <w:r w:rsidR="00DE54D9" w:rsidRPr="00046863">
        <w:rPr>
          <w:sz w:val="24"/>
          <w:szCs w:val="36"/>
        </w:rPr>
        <w:t>kaza</w:t>
      </w:r>
      <w:r w:rsidR="00D97A99">
        <w:rPr>
          <w:sz w:val="24"/>
          <w:szCs w:val="36"/>
        </w:rPr>
        <w:t>ndı</w:t>
      </w:r>
      <w:r w:rsidR="00DE54D9" w:rsidRPr="00046863">
        <w:rPr>
          <w:sz w:val="24"/>
          <w:szCs w:val="36"/>
        </w:rPr>
        <w:t>.</w:t>
      </w:r>
      <w:r w:rsidR="00112D8D">
        <w:rPr>
          <w:sz w:val="24"/>
          <w:szCs w:val="36"/>
        </w:rPr>
        <w:t xml:space="preserve"> </w:t>
      </w:r>
    </w:p>
    <w:p w:rsidR="003E43EB" w:rsidRDefault="003E43EB" w:rsidP="00B210D7">
      <w:pPr>
        <w:spacing w:line="360" w:lineRule="auto"/>
        <w:jc w:val="both"/>
        <w:rPr>
          <w:sz w:val="24"/>
          <w:szCs w:val="36"/>
        </w:rPr>
      </w:pPr>
    </w:p>
    <w:p w:rsidR="003E43EB" w:rsidRDefault="003E43EB" w:rsidP="00B210D7">
      <w:pPr>
        <w:spacing w:line="360" w:lineRule="auto"/>
        <w:jc w:val="both"/>
        <w:rPr>
          <w:sz w:val="24"/>
          <w:szCs w:val="36"/>
        </w:rPr>
      </w:pPr>
    </w:p>
    <w:p w:rsidR="00680B2C" w:rsidRPr="007B15E9" w:rsidRDefault="00680B2C" w:rsidP="00680B2C">
      <w:pPr>
        <w:spacing w:line="360" w:lineRule="auto"/>
        <w:jc w:val="both"/>
        <w:rPr>
          <w:sz w:val="24"/>
          <w:szCs w:val="36"/>
        </w:rPr>
      </w:pPr>
      <w:bookmarkStart w:id="0" w:name="_GoBack"/>
      <w:bookmarkEnd w:id="0"/>
    </w:p>
    <w:sectPr w:rsidR="00680B2C" w:rsidRPr="007B15E9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2E35" w:rsidRDefault="00FA2E35" w:rsidP="004D22FD">
      <w:pPr>
        <w:spacing w:after="0" w:line="240" w:lineRule="auto"/>
      </w:pPr>
      <w:r>
        <w:separator/>
      </w:r>
    </w:p>
  </w:endnote>
  <w:endnote w:type="continuationSeparator" w:id="0">
    <w:p w:rsidR="00FA2E35" w:rsidRDefault="00FA2E35" w:rsidP="004D2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2E35" w:rsidRDefault="00FA2E35" w:rsidP="004D22FD">
      <w:pPr>
        <w:spacing w:after="0" w:line="240" w:lineRule="auto"/>
      </w:pPr>
      <w:r>
        <w:separator/>
      </w:r>
    </w:p>
  </w:footnote>
  <w:footnote w:type="continuationSeparator" w:id="0">
    <w:p w:rsidR="00FA2E35" w:rsidRDefault="00FA2E35" w:rsidP="004D22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D00"/>
    <w:rsid w:val="000068B3"/>
    <w:rsid w:val="000240A9"/>
    <w:rsid w:val="00046863"/>
    <w:rsid w:val="00060569"/>
    <w:rsid w:val="000660CE"/>
    <w:rsid w:val="00074898"/>
    <w:rsid w:val="0007506E"/>
    <w:rsid w:val="00112D8D"/>
    <w:rsid w:val="00143B9A"/>
    <w:rsid w:val="00144CA4"/>
    <w:rsid w:val="001D0B98"/>
    <w:rsid w:val="001F5ED6"/>
    <w:rsid w:val="0025001C"/>
    <w:rsid w:val="002B04E1"/>
    <w:rsid w:val="0035589A"/>
    <w:rsid w:val="00372CFF"/>
    <w:rsid w:val="003A695C"/>
    <w:rsid w:val="003E43EB"/>
    <w:rsid w:val="00437F2C"/>
    <w:rsid w:val="0045496E"/>
    <w:rsid w:val="00471429"/>
    <w:rsid w:val="004938E7"/>
    <w:rsid w:val="004D22FD"/>
    <w:rsid w:val="004F3A07"/>
    <w:rsid w:val="005201B5"/>
    <w:rsid w:val="005251F1"/>
    <w:rsid w:val="00552600"/>
    <w:rsid w:val="00584500"/>
    <w:rsid w:val="00585D0A"/>
    <w:rsid w:val="00597E44"/>
    <w:rsid w:val="005E3AB8"/>
    <w:rsid w:val="005E4D77"/>
    <w:rsid w:val="005F43EA"/>
    <w:rsid w:val="0060043E"/>
    <w:rsid w:val="006038AE"/>
    <w:rsid w:val="0062552F"/>
    <w:rsid w:val="00680B2C"/>
    <w:rsid w:val="00682BF7"/>
    <w:rsid w:val="006C7A4C"/>
    <w:rsid w:val="006D2C32"/>
    <w:rsid w:val="00726F45"/>
    <w:rsid w:val="00774364"/>
    <w:rsid w:val="007968B9"/>
    <w:rsid w:val="007B15E9"/>
    <w:rsid w:val="00804C9F"/>
    <w:rsid w:val="008159A4"/>
    <w:rsid w:val="0082238C"/>
    <w:rsid w:val="00850F0A"/>
    <w:rsid w:val="00893FE3"/>
    <w:rsid w:val="008C1782"/>
    <w:rsid w:val="00950FED"/>
    <w:rsid w:val="009A546F"/>
    <w:rsid w:val="009D18E0"/>
    <w:rsid w:val="009E5A6A"/>
    <w:rsid w:val="00A05200"/>
    <w:rsid w:val="00A47C7A"/>
    <w:rsid w:val="00A75010"/>
    <w:rsid w:val="00AC2096"/>
    <w:rsid w:val="00AD3D0F"/>
    <w:rsid w:val="00AE4169"/>
    <w:rsid w:val="00B04697"/>
    <w:rsid w:val="00B210D7"/>
    <w:rsid w:val="00B85DC5"/>
    <w:rsid w:val="00B92CCE"/>
    <w:rsid w:val="00BA47E2"/>
    <w:rsid w:val="00BB6A3B"/>
    <w:rsid w:val="00BC01D4"/>
    <w:rsid w:val="00BC04FD"/>
    <w:rsid w:val="00C47813"/>
    <w:rsid w:val="00C5134F"/>
    <w:rsid w:val="00C56F83"/>
    <w:rsid w:val="00CA7B8B"/>
    <w:rsid w:val="00D06F54"/>
    <w:rsid w:val="00D2266F"/>
    <w:rsid w:val="00D33AE7"/>
    <w:rsid w:val="00D45350"/>
    <w:rsid w:val="00D8040B"/>
    <w:rsid w:val="00D97A99"/>
    <w:rsid w:val="00DA2BF1"/>
    <w:rsid w:val="00DB3F14"/>
    <w:rsid w:val="00DE54D9"/>
    <w:rsid w:val="00E73915"/>
    <w:rsid w:val="00E96201"/>
    <w:rsid w:val="00EE2323"/>
    <w:rsid w:val="00EF79E4"/>
    <w:rsid w:val="00F0070B"/>
    <w:rsid w:val="00F20D00"/>
    <w:rsid w:val="00F93C9D"/>
    <w:rsid w:val="00FA2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F40AB5D"/>
  <w14:defaultImageDpi w14:val="0"/>
  <w15:docId w15:val="{5BF7E75C-3119-4459-A4A2-4400F7CE4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D22F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locked/>
    <w:rsid w:val="004D22FD"/>
    <w:rPr>
      <w:rFonts w:cs="Times New Roman"/>
    </w:rPr>
  </w:style>
  <w:style w:type="paragraph" w:styleId="AltBilgi">
    <w:name w:val="footer"/>
    <w:basedOn w:val="Normal"/>
    <w:link w:val="AltBilgiChar"/>
    <w:uiPriority w:val="99"/>
    <w:unhideWhenUsed/>
    <w:rsid w:val="004D22F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locked/>
    <w:rsid w:val="004D22FD"/>
    <w:rPr>
      <w:rFonts w:cs="Times New Roman"/>
    </w:rPr>
  </w:style>
  <w:style w:type="character" w:styleId="AklamaBavurusu">
    <w:name w:val="annotation reference"/>
    <w:basedOn w:val="VarsaylanParagrafYazTipi"/>
    <w:uiPriority w:val="99"/>
    <w:semiHidden/>
    <w:unhideWhenUsed/>
    <w:rsid w:val="00B92CCE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B92CCE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B92CCE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B92CCE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B92CCE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92C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92C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4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appedLabelHistory xmlns:xsd="http://www.w3.org/2001/XMLSchema" xmlns:xsi="http://www.w3.org/2001/XMLSchema-instance" xmlns="http://www.boldonjames.com/2016/02/Classifier/internal/wrappedLabelHistory">
  <Value>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</Value>
</WrappedLabelHistory>
</file>

<file path=customXml/item2.xml><?xml version="1.0" encoding="utf-8"?>
<sisl xmlns:xsd="http://www.w3.org/2001/XMLSchema" xmlns:xsi="http://www.w3.org/2001/XMLSchema-instance" xmlns="http://www.boldonjames.com/2008/01/sie/internal/label" sislVersion="0" policy="7cba9d10-a63d-433c-afd6-13943624bfd7" origin="userSelected">
  <element uid="16989c20-57cb-42b2-8927-26b0b9262103" value=""/>
  <element uid="0459ebfd-a8db-4d61-86a1-dd18ab05d2c3" value=""/>
</sisl>
</file>

<file path=customXml/itemProps1.xml><?xml version="1.0" encoding="utf-8"?>
<ds:datastoreItem xmlns:ds="http://schemas.openxmlformats.org/officeDocument/2006/customXml" ds:itemID="{9C5DF8A0-8CD9-46E8-8BE2-5447E562EC04}">
  <ds:schemaRefs>
    <ds:schemaRef ds:uri="http://www.w3.org/2001/XMLSchema"/>
    <ds:schemaRef ds:uri="http://www.boldonjames.com/2016/02/Classifier/internal/wrappedLabelHistory"/>
  </ds:schemaRefs>
</ds:datastoreItem>
</file>

<file path=customXml/itemProps2.xml><?xml version="1.0" encoding="utf-8"?>
<ds:datastoreItem xmlns:ds="http://schemas.openxmlformats.org/officeDocument/2006/customXml" ds:itemID="{0502C479-F408-4F2B-BEED-A945CEA5AD7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İrem Çetingoz</dc:creator>
  <cp:keywords>ACK-652382</cp:keywords>
  <dc:description/>
  <cp:lastModifiedBy>Berrak Atalay / Emlak Katılım - PR ve Medya Planlama Servisi</cp:lastModifiedBy>
  <cp:revision>4</cp:revision>
  <dcterms:created xsi:type="dcterms:W3CDTF">2024-01-29T14:10:00Z</dcterms:created>
  <dcterms:modified xsi:type="dcterms:W3CDTF">2024-01-29T14:13:00Z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a7dcf277-9bef-46f1-90f1-8d06b6a9c8e5</vt:lpwstr>
  </property>
  <property fmtid="{D5CDD505-2E9C-101B-9397-08002B2CF9AE}" pid="3" name="bjSaver">
    <vt:lpwstr>rtwwm2ug74V7bxNgRFlNmhe2j1gqIosp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xmlns:xsd="http://www.w3.org/2001/XMLSchema" xmlns:xsi="http://www.w3.org/2001/XMLSchema-instance" sislVersion="0" policy="7cba9d10-a63d-433c-afd6-13943624bfd7" origin="userSelected" xmlns="http://www.boldonj</vt:lpwstr>
  </property>
  <property fmtid="{D5CDD505-2E9C-101B-9397-08002B2CF9AE}" pid="6" name="bjDocumentLabelXML-0">
    <vt:lpwstr>ames.com/2008/01/sie/internal/label"&gt;&lt;element uid="16989c20-57cb-42b2-8927-26b0b9262103" value="" /&gt;&lt;element uid="0459ebfd-a8db-4d61-86a1-dd18ab05d2c3" value="" /&gt;&lt;/sisl&gt;</vt:lpwstr>
  </property>
  <property fmtid="{D5CDD505-2E9C-101B-9397-08002B2CF9AE}" pid="7" name="bjDocumentSecurityLabel">
    <vt:lpwstr>Açık | KV İçermez</vt:lpwstr>
  </property>
  <property fmtid="{D5CDD505-2E9C-101B-9397-08002B2CF9AE}" pid="8" name="bjLabelHistoryID">
    <vt:lpwstr>{9C5DF8A0-8CD9-46E8-8BE2-5447E562EC04}</vt:lpwstr>
  </property>
</Properties>
</file>